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8361" w:type="dxa"/>
        <w:jc w:val="center"/>
        <w:tblLook w:val="04A0" w:firstRow="1" w:lastRow="0" w:firstColumn="1" w:lastColumn="0" w:noHBand="0" w:noVBand="1"/>
      </w:tblPr>
      <w:tblGrid>
        <w:gridCol w:w="8361"/>
      </w:tblGrid>
      <w:tr w:rsidR="00CB2F4B" w:rsidTr="00CB2F4B">
        <w:trPr>
          <w:trHeight w:val="360"/>
          <w:jc w:val="center"/>
        </w:trPr>
        <w:tc>
          <w:tcPr>
            <w:tcW w:w="8361" w:type="dxa"/>
            <w:hideMark/>
          </w:tcPr>
          <w:p w:rsidR="00CB2F4B" w:rsidRDefault="00CB2F4B">
            <w:pPr>
              <w:suppressLineNumbers/>
              <w:rPr>
                <w:b/>
                <w:bCs/>
              </w:rPr>
            </w:pPr>
            <w:bookmarkStart w:id="0" w:name="_GoBack"/>
            <w:bookmarkEnd w:id="0"/>
            <w:r>
              <w:rPr>
                <w:rFonts w:hint="cs"/>
                <w:b/>
                <w:bCs/>
                <w:rtl/>
              </w:rPr>
              <w:t>לפני כבוד ה</w:t>
            </w:r>
            <w:sdt>
              <w:sdtPr>
                <w:rPr>
                  <w:rFonts w:hint="cs"/>
                  <w:rtl/>
                </w:rPr>
                <w:alias w:val="165"/>
                <w:tag w:val="165"/>
                <w:id w:val="584732177"/>
                <w:text w:multiLine="1"/>
              </w:sdtPr>
              <w:sdtEndPr/>
              <w:sdtContent>
                <w:r>
                  <w:rPr>
                    <w:rFonts w:hint="cs"/>
                    <w:b/>
                    <w:bCs/>
                    <w:rtl/>
                  </w:rPr>
                  <w:t>שופטת אספרנצה אלון</w:t>
                </w:r>
              </w:sdtContent>
            </w:sdt>
          </w:p>
        </w:tc>
      </w:tr>
    </w:tbl>
    <w:tbl>
      <w:tblPr>
        <w:tblStyle w:val="a5"/>
        <w:bidiVisual/>
        <w:tblW w:w="8416"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170"/>
      </w:tblGrid>
      <w:tr w:rsidR="00CB2F4B" w:rsidTr="00CB2F4B">
        <w:tc>
          <w:tcPr>
            <w:tcW w:w="3246" w:type="dxa"/>
          </w:tcPr>
          <w:p w:rsidR="00CB2F4B" w:rsidRDefault="00CB2F4B" w:rsidP="00CB2F4B">
            <w:pPr>
              <w:suppressLineNumbers/>
              <w:jc w:val="left"/>
              <w:rPr>
                <w:b/>
                <w:bCs/>
                <w:rtl/>
              </w:rPr>
            </w:pPr>
            <w:r>
              <w:rPr>
                <w:rFonts w:hint="cs"/>
                <w:b/>
                <w:bCs/>
                <w:rtl/>
              </w:rPr>
              <w:t>ה</w:t>
            </w:r>
            <w:sdt>
              <w:sdtPr>
                <w:rPr>
                  <w:b/>
                  <w:bCs/>
                  <w:rtl/>
                </w:rPr>
                <w:alias w:val="1264"/>
                <w:tag w:val="1264"/>
                <w:id w:val="748628538"/>
                <w:placeholder>
                  <w:docPart w:val="85F2EE7F7D8B462F89DD02807B560EAE"/>
                </w:placeholder>
                <w:text w:multiLine="1"/>
              </w:sdtPr>
              <w:sdtEndPr/>
              <w:sdtContent>
                <w:r>
                  <w:rPr>
                    <w:b/>
                    <w:bCs/>
                    <w:rtl/>
                  </w:rPr>
                  <w:t>מערער</w:t>
                </w:r>
              </w:sdtContent>
            </w:sdt>
          </w:p>
        </w:tc>
        <w:tc>
          <w:tcPr>
            <w:tcW w:w="5170" w:type="dxa"/>
          </w:tcPr>
          <w:p w:rsidR="00CB2F4B" w:rsidRPr="00CB2F4B" w:rsidRDefault="00CB2F4B" w:rsidP="00CB2F4B">
            <w:pPr>
              <w:suppressLineNumbers/>
              <w:jc w:val="left"/>
            </w:pPr>
            <w:r>
              <w:rPr>
                <w:rFonts w:hint="cs"/>
                <w:b/>
                <w:bCs/>
                <w:rtl/>
              </w:rPr>
              <w:t xml:space="preserve"> </w:t>
            </w:r>
            <w:sdt>
              <w:sdtPr>
                <w:rPr>
                  <w:b/>
                  <w:bCs/>
                  <w:rtl/>
                </w:rPr>
                <w:alias w:val="825"/>
                <w:tag w:val="825"/>
                <w:id w:val="-1404140937"/>
                <w:placeholder>
                  <w:docPart w:val="DAB78DFA0E8C4C699DA2D90AA0EDDC40"/>
                </w:placeholder>
                <w:text w:multiLine="1"/>
              </w:sdtPr>
              <w:sdtEndPr/>
              <w:sdtContent>
                <w:r>
                  <w:rPr>
                    <w:rFonts w:hint="cs"/>
                    <w:b/>
                    <w:bCs/>
                    <w:rtl/>
                  </w:rPr>
                  <w:t>ב'</w:t>
                </w:r>
              </w:sdtContent>
            </w:sdt>
          </w:p>
        </w:tc>
      </w:tr>
      <w:tr w:rsidR="00CB2F4B" w:rsidTr="00CB2F4B">
        <w:tc>
          <w:tcPr>
            <w:tcW w:w="8416" w:type="dxa"/>
            <w:gridSpan w:val="2"/>
          </w:tcPr>
          <w:p w:rsidR="00CB2F4B" w:rsidRDefault="00CB2F4B">
            <w:pPr>
              <w:suppressLineNumbers/>
              <w:rPr>
                <w:b/>
                <w:bCs/>
                <w:rtl/>
              </w:rPr>
            </w:pPr>
          </w:p>
          <w:p w:rsidR="00CB2F4B" w:rsidRDefault="00CB2F4B">
            <w:pPr>
              <w:suppressLineNumbers/>
              <w:jc w:val="center"/>
              <w:rPr>
                <w:b/>
                <w:bCs/>
                <w:rtl/>
              </w:rPr>
            </w:pPr>
            <w:r>
              <w:rPr>
                <w:rFonts w:hint="cs"/>
                <w:b/>
                <w:bCs/>
                <w:rtl/>
              </w:rPr>
              <w:t>נגד</w:t>
            </w:r>
          </w:p>
          <w:p w:rsidR="00CB2F4B" w:rsidRDefault="00CB2F4B">
            <w:pPr>
              <w:suppressLineNumbers/>
              <w:rPr>
                <w:b/>
                <w:bCs/>
                <w:rtl/>
              </w:rPr>
            </w:pPr>
          </w:p>
        </w:tc>
      </w:tr>
      <w:tr w:rsidR="00CB2F4B" w:rsidTr="00CB2F4B">
        <w:trPr>
          <w:trHeight w:val="257"/>
        </w:trPr>
        <w:tc>
          <w:tcPr>
            <w:tcW w:w="3246" w:type="dxa"/>
            <w:hideMark/>
          </w:tcPr>
          <w:p w:rsidR="00CB2F4B" w:rsidRDefault="00CB2F4B" w:rsidP="00CB2F4B">
            <w:pPr>
              <w:suppressLineNumbers/>
              <w:jc w:val="left"/>
              <w:rPr>
                <w:b/>
                <w:bCs/>
                <w:rtl/>
              </w:rPr>
            </w:pPr>
            <w:r>
              <w:rPr>
                <w:rFonts w:hint="cs"/>
                <w:b/>
                <w:bCs/>
                <w:rtl/>
              </w:rPr>
              <w:t>ה</w:t>
            </w:r>
            <w:sdt>
              <w:sdtPr>
                <w:rPr>
                  <w:b/>
                  <w:bCs/>
                  <w:rtl/>
                </w:rPr>
                <w:alias w:val="1265"/>
                <w:tag w:val="1265"/>
                <w:id w:val="15438151"/>
                <w:text/>
              </w:sdtPr>
              <w:sdtEndPr/>
              <w:sdtContent>
                <w:r>
                  <w:rPr>
                    <w:b/>
                    <w:bCs/>
                    <w:rtl/>
                  </w:rPr>
                  <w:t>משיב</w:t>
                </w:r>
              </w:sdtContent>
            </w:sdt>
          </w:p>
        </w:tc>
        <w:tc>
          <w:tcPr>
            <w:tcW w:w="5170" w:type="dxa"/>
            <w:hideMark/>
          </w:tcPr>
          <w:p w:rsidR="00CB2F4B" w:rsidRDefault="00CB2F4B" w:rsidP="00CB2F4B">
            <w:pPr>
              <w:suppressLineNumbers/>
              <w:jc w:val="left"/>
              <w:rPr>
                <w:b/>
                <w:bCs/>
                <w:rtl/>
              </w:rPr>
            </w:pPr>
            <w:r>
              <w:rPr>
                <w:rFonts w:hint="cs"/>
                <w:b/>
                <w:bCs/>
                <w:rtl/>
              </w:rPr>
              <w:t xml:space="preserve"> </w:t>
            </w:r>
            <w:sdt>
              <w:sdtPr>
                <w:rPr>
                  <w:b/>
                  <w:bCs/>
                  <w:rtl/>
                </w:rPr>
                <w:alias w:val="1266"/>
                <w:tag w:val="1266"/>
                <w:id w:val="1865085449"/>
                <w:placeholder>
                  <w:docPart w:val="C50572A735F54D44A6CEDE57BBC08808"/>
                </w:placeholder>
                <w:text w:multiLine="1"/>
              </w:sdtPr>
              <w:sdtEndPr/>
              <w:sdtContent>
                <w:r>
                  <w:rPr>
                    <w:b/>
                    <w:bCs/>
                    <w:rtl/>
                  </w:rPr>
                  <w:t>מרכז לבריאות הנפש שער מנשה</w:t>
                </w:r>
              </w:sdtContent>
            </w:sdt>
          </w:p>
        </w:tc>
      </w:tr>
    </w:tbl>
    <w:p w:rsidR="00CB2F4B" w:rsidRDefault="00CB2F4B" w:rsidP="00CB2F4B">
      <w:pPr>
        <w:jc w:val="both"/>
        <w:rPr>
          <w:sz w:val="6"/>
          <w:szCs w:val="6"/>
          <w:rtl/>
        </w:rPr>
      </w:pPr>
      <w:r>
        <w:rPr>
          <w:rFonts w:hint="cs"/>
          <w:sz w:val="6"/>
          <w:szCs w:val="6"/>
          <w:rtl/>
        </w:rPr>
        <w:t>&lt;#2#&gt;</w:t>
      </w:r>
    </w:p>
    <w:p w:rsidR="00CB2F4B" w:rsidRDefault="00CB2F4B" w:rsidP="00CB2F4B">
      <w:pPr>
        <w:pStyle w:val="12"/>
        <w:rPr>
          <w:rtl/>
        </w:rPr>
      </w:pPr>
      <w:r>
        <w:rPr>
          <w:rtl/>
        </w:rPr>
        <w:t>נוכחים:</w:t>
      </w:r>
    </w:p>
    <w:p w:rsidR="00CB2F4B" w:rsidRDefault="00CB2F4B" w:rsidP="00CB2F4B">
      <w:pPr>
        <w:pStyle w:val="12"/>
        <w:rPr>
          <w:b w:val="0"/>
          <w:bCs w:val="0"/>
          <w:u w:val="none"/>
          <w:rtl/>
        </w:rPr>
      </w:pPr>
      <w:r>
        <w:rPr>
          <w:b w:val="0"/>
          <w:bCs w:val="0"/>
          <w:u w:val="none"/>
          <w:rtl/>
        </w:rPr>
        <w:t>ב"כ המערער: עו"ד סאבא אמיר (סיוע משפטי)</w:t>
      </w:r>
    </w:p>
    <w:p w:rsidR="00CB2F4B" w:rsidRDefault="00CB2F4B" w:rsidP="00CB2F4B">
      <w:pPr>
        <w:pStyle w:val="12"/>
        <w:rPr>
          <w:b w:val="0"/>
          <w:bCs w:val="0"/>
          <w:u w:val="none"/>
          <w:rtl/>
        </w:rPr>
      </w:pPr>
      <w:r>
        <w:rPr>
          <w:b w:val="0"/>
          <w:bCs w:val="0"/>
          <w:u w:val="none"/>
          <w:rtl/>
        </w:rPr>
        <w:t>המערער בעצמו בליווי מלווה מבית החולים</w:t>
      </w:r>
    </w:p>
    <w:p w:rsidR="00CB2F4B" w:rsidRDefault="00CB2F4B" w:rsidP="00CB2F4B">
      <w:pPr>
        <w:pStyle w:val="12"/>
        <w:rPr>
          <w:b w:val="0"/>
          <w:bCs w:val="0"/>
          <w:u w:val="none"/>
          <w:rtl/>
        </w:rPr>
      </w:pPr>
      <w:r>
        <w:rPr>
          <w:b w:val="0"/>
          <w:bCs w:val="0"/>
          <w:u w:val="none"/>
          <w:rtl/>
        </w:rPr>
        <w:t>ב"כ המשיב: עו"ד דרור קנריק- שריג</w:t>
      </w:r>
      <w:r>
        <w:rPr>
          <w:rFonts w:hint="cs"/>
          <w:b w:val="0"/>
          <w:bCs w:val="0"/>
          <w:u w:val="none"/>
          <w:rtl/>
        </w:rPr>
        <w:t xml:space="preserve"> (פרקליטות מחוז חיפה- אזרחי)</w:t>
      </w:r>
    </w:p>
    <w:p w:rsidR="00CB2F4B" w:rsidRDefault="00CB2F4B" w:rsidP="00CB2F4B">
      <w:pPr>
        <w:pStyle w:val="12"/>
        <w:jc w:val="center"/>
        <w:rPr>
          <w:sz w:val="32"/>
          <w:szCs w:val="32"/>
          <w:rtl/>
        </w:rPr>
      </w:pPr>
      <w:r>
        <w:rPr>
          <w:sz w:val="32"/>
          <w:szCs w:val="32"/>
          <w:rtl/>
        </w:rPr>
        <w:t>פרוטוקול</w:t>
      </w:r>
    </w:p>
    <w:p w:rsidR="00CB2F4B" w:rsidRDefault="00CB2F4B" w:rsidP="00CB2F4B">
      <w:pPr>
        <w:spacing w:line="360" w:lineRule="auto"/>
        <w:jc w:val="both"/>
        <w:rPr>
          <w:sz w:val="6"/>
          <w:szCs w:val="6"/>
          <w:rtl/>
        </w:rPr>
      </w:pPr>
      <w:r>
        <w:rPr>
          <w:rFonts w:hint="cs"/>
          <w:sz w:val="6"/>
          <w:szCs w:val="6"/>
          <w:rtl/>
        </w:rPr>
        <w:t>&lt;#3#&gt;</w:t>
      </w:r>
    </w:p>
    <w:p w:rsidR="00CB2F4B" w:rsidRDefault="00CB2F4B" w:rsidP="00CB2F4B">
      <w:pPr>
        <w:spacing w:line="360" w:lineRule="auto"/>
        <w:jc w:val="center"/>
        <w:rPr>
          <w:rFonts w:ascii="Arial" w:hAnsi="Arial"/>
          <w:b/>
          <w:bCs/>
          <w:sz w:val="28"/>
          <w:szCs w:val="28"/>
          <w:u w:val="single"/>
          <w:rtl/>
        </w:rPr>
      </w:pPr>
      <w:r>
        <w:rPr>
          <w:rFonts w:ascii="Arial" w:hAnsi="Arial" w:hint="cs"/>
          <w:b/>
          <w:bCs/>
          <w:sz w:val="28"/>
          <w:szCs w:val="28"/>
          <w:u w:val="single"/>
          <w:rtl/>
        </w:rPr>
        <w:t>החלטה</w:t>
      </w:r>
    </w:p>
    <w:p w:rsidR="00CB2F4B" w:rsidRDefault="00CB2F4B" w:rsidP="00CB2F4B">
      <w:pPr>
        <w:pStyle w:val="a6"/>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 xml:space="preserve">לפניי ערעור על החלטת הוועדה הפסיכיאטרית שהתכנסה ביום 20.07.2023 בבית החולים "שער משנה" (להלן: </w:t>
      </w:r>
      <w:r>
        <w:rPr>
          <w:rFonts w:ascii="David" w:hAnsi="David" w:cs="David"/>
          <w:b/>
          <w:bCs/>
          <w:sz w:val="24"/>
          <w:szCs w:val="24"/>
          <w:rtl/>
        </w:rPr>
        <w:t>"הוועדה הפסיכיאטרית</w:t>
      </w:r>
      <w:r>
        <w:rPr>
          <w:rFonts w:ascii="David" w:hAnsi="David" w:cs="David"/>
          <w:sz w:val="24"/>
          <w:szCs w:val="24"/>
          <w:rtl/>
        </w:rPr>
        <w:t>", "</w:t>
      </w:r>
      <w:r>
        <w:rPr>
          <w:rFonts w:ascii="David" w:hAnsi="David" w:cs="David"/>
          <w:b/>
          <w:bCs/>
          <w:sz w:val="24"/>
          <w:szCs w:val="24"/>
          <w:rtl/>
        </w:rPr>
        <w:t>בית החולים</w:t>
      </w:r>
      <w:r>
        <w:rPr>
          <w:rFonts w:ascii="David" w:hAnsi="David" w:cs="David"/>
          <w:sz w:val="24"/>
          <w:szCs w:val="24"/>
          <w:rtl/>
        </w:rPr>
        <w:t>" בהתאמה) מכוח סעיף 10(ג)(1) לחוק טיפול בחולי נפש, תשנ"א-1991 (להלן: "</w:t>
      </w:r>
      <w:r>
        <w:rPr>
          <w:rFonts w:ascii="David" w:hAnsi="David" w:cs="David"/>
          <w:b/>
          <w:bCs/>
          <w:sz w:val="24"/>
          <w:szCs w:val="24"/>
          <w:rtl/>
        </w:rPr>
        <w:t>החוק</w:t>
      </w:r>
      <w:r>
        <w:rPr>
          <w:rFonts w:ascii="David" w:hAnsi="David" w:cs="David"/>
          <w:sz w:val="24"/>
          <w:szCs w:val="24"/>
          <w:rtl/>
        </w:rPr>
        <w:t>"), בה הוחלט על הארכת אשפוזו הכפוי של המערער עד יום 10.08.2023 (להלן: "</w:t>
      </w:r>
      <w:r>
        <w:rPr>
          <w:rFonts w:ascii="David" w:hAnsi="David" w:cs="David"/>
          <w:b/>
          <w:bCs/>
          <w:sz w:val="24"/>
          <w:szCs w:val="24"/>
          <w:rtl/>
        </w:rPr>
        <w:t>החלטת הוועדה הפסיכיאטרית</w:t>
      </w:r>
      <w:r>
        <w:rPr>
          <w:rFonts w:ascii="David" w:hAnsi="David" w:cs="David"/>
          <w:sz w:val="24"/>
          <w:szCs w:val="24"/>
          <w:rtl/>
        </w:rPr>
        <w:t xml:space="preserve">"). </w:t>
      </w:r>
    </w:p>
    <w:p w:rsidR="00CB2F4B" w:rsidRDefault="00CB2F4B" w:rsidP="00CB2F4B">
      <w:pPr>
        <w:spacing w:line="360" w:lineRule="auto"/>
        <w:ind w:right="-142"/>
        <w:jc w:val="both"/>
      </w:pPr>
    </w:p>
    <w:p w:rsidR="00CB2F4B" w:rsidRDefault="00CB2F4B" w:rsidP="00CB2F4B">
      <w:pPr>
        <w:pStyle w:val="a6"/>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נימוקי הוועדה הפסיכיאטרית היו כדלקמן:</w:t>
      </w:r>
    </w:p>
    <w:p w:rsidR="00CB2F4B" w:rsidRDefault="00CB2F4B" w:rsidP="00CB2F4B">
      <w:pPr>
        <w:spacing w:line="360" w:lineRule="auto"/>
        <w:ind w:right="-142"/>
        <w:jc w:val="both"/>
        <w:rPr>
          <w:rtl/>
        </w:rPr>
      </w:pPr>
    </w:p>
    <w:p w:rsidR="00CB2F4B" w:rsidRDefault="00CB2F4B" w:rsidP="00CB2F4B">
      <w:pPr>
        <w:spacing w:line="360" w:lineRule="auto"/>
        <w:ind w:left="368" w:right="284"/>
        <w:jc w:val="both"/>
        <w:rPr>
          <w:b/>
          <w:bCs/>
          <w:rtl/>
        </w:rPr>
      </w:pPr>
      <w:r>
        <w:rPr>
          <w:rFonts w:hint="cs"/>
          <w:b/>
          <w:bCs/>
          <w:rtl/>
        </w:rPr>
        <w:t>"המטופל מאושפז בכפיה וכיון עומד בפני סיום הוראה שניה. חסר תובנה למצבו ולהחמרה במצבו עקב שימוש בסמים ושינוי על דעת עצמו בטיפול התרופתי, מדובר במי שאושפז פעמים רבות בעבר, כמו כן לחובתו מספר רב של תיקים פלילים לרבות בעבירות אלימות. כיום חל שיפור מסוים במצבו אולם טרם הגיע לכלל שיפור אופטימלי, עשה שינוי בטיפול התרופתי לטובת טיפול ארוך טווח. שחרורו כיום עדיין מעמידו במצב של סכנת הדרדרות וכן לסביבתו כעולה מאשפוזים קודמים ומנסיבות אשפוז זה. הוועדה מתרשמת כי עודנו במצב מאני רוגזני, לאור הצורך בהמשך האיזון התרופתי ולאור העובדה ששחרורו כעת ללא חלופה הולמת עדיין יוצר מסוכנות לעצמו ולאחרים, מאורך האשפוז, יחד עם זאת מקוצרת התקופה והאשפוז יוארך עד שלושה שבועות בלבד."</w:t>
      </w:r>
    </w:p>
    <w:p w:rsidR="00CB2F4B" w:rsidRDefault="00CB2F4B" w:rsidP="00CB2F4B">
      <w:pPr>
        <w:jc w:val="center"/>
        <w:rPr>
          <w:b/>
          <w:bCs/>
          <w:u w:val="single"/>
        </w:rPr>
      </w:pPr>
    </w:p>
    <w:p w:rsidR="00CB2F4B" w:rsidRDefault="00CB2F4B" w:rsidP="00CB2F4B">
      <w:pPr>
        <w:pStyle w:val="a6"/>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במהלך הדיון בעניינו של המערער בפני הוועדה הפסיכיאטרית, נשמעו הדברים הבאים:</w:t>
      </w:r>
    </w:p>
    <w:p w:rsidR="00CB2F4B" w:rsidRDefault="00CB2F4B" w:rsidP="00CB2F4B">
      <w:pPr>
        <w:pStyle w:val="a6"/>
        <w:spacing w:after="0" w:line="360" w:lineRule="auto"/>
        <w:ind w:left="-58" w:right="-142"/>
        <w:jc w:val="both"/>
        <w:rPr>
          <w:rFonts w:ascii="David" w:hAnsi="David" w:cs="David"/>
          <w:sz w:val="24"/>
          <w:szCs w:val="24"/>
        </w:rPr>
      </w:pPr>
    </w:p>
    <w:p w:rsidR="00CB2F4B" w:rsidRDefault="00CB2F4B" w:rsidP="00CB2F4B">
      <w:pPr>
        <w:spacing w:line="360" w:lineRule="auto"/>
        <w:ind w:left="368" w:right="284"/>
        <w:jc w:val="both"/>
        <w:rPr>
          <w:b/>
          <w:bCs/>
        </w:rPr>
      </w:pPr>
      <w:r>
        <w:rPr>
          <w:rFonts w:hint="cs"/>
          <w:b/>
          <w:bCs/>
          <w:rtl/>
        </w:rPr>
        <w:t>"[...] תספר על המצב שלך – יש תרופות שמאזנות את המחלה שלי.</w:t>
      </w:r>
    </w:p>
    <w:p w:rsidR="00CB2F4B" w:rsidRDefault="00CB2F4B" w:rsidP="00CB2F4B">
      <w:pPr>
        <w:spacing w:line="360" w:lineRule="auto"/>
        <w:ind w:left="368" w:right="284"/>
        <w:jc w:val="both"/>
        <w:rPr>
          <w:b/>
          <w:bCs/>
          <w:rtl/>
        </w:rPr>
      </w:pPr>
      <w:r>
        <w:rPr>
          <w:rFonts w:hint="cs"/>
          <w:b/>
          <w:bCs/>
          <w:rtl/>
        </w:rPr>
        <w:t>לקחת אותן? כן. כל הזמן.</w:t>
      </w:r>
    </w:p>
    <w:p w:rsidR="00CB2F4B" w:rsidRDefault="00CB2F4B" w:rsidP="00CB2F4B">
      <w:pPr>
        <w:spacing w:line="360" w:lineRule="auto"/>
        <w:ind w:left="368" w:right="284"/>
        <w:jc w:val="both"/>
        <w:rPr>
          <w:b/>
          <w:bCs/>
          <w:rtl/>
        </w:rPr>
      </w:pPr>
      <w:r>
        <w:rPr>
          <w:rFonts w:hint="cs"/>
          <w:b/>
          <w:bCs/>
          <w:rtl/>
        </w:rPr>
        <w:t>בחוץ לקחתי גם אבל הפסקתי עם הזיפרקסה וזה מה שקרה. אבל לקחתי דלפלט 1000.</w:t>
      </w:r>
    </w:p>
    <w:p w:rsidR="00CB2F4B" w:rsidRDefault="00CB2F4B" w:rsidP="00CB2F4B">
      <w:pPr>
        <w:spacing w:line="360" w:lineRule="auto"/>
        <w:ind w:left="368" w:right="284"/>
        <w:jc w:val="both"/>
        <w:rPr>
          <w:b/>
          <w:bCs/>
          <w:rtl/>
        </w:rPr>
      </w:pPr>
      <w:r>
        <w:rPr>
          <w:rFonts w:hint="cs"/>
          <w:b/>
          <w:bCs/>
          <w:rtl/>
        </w:rPr>
        <w:t>[...]</w:t>
      </w:r>
    </w:p>
    <w:p w:rsidR="00CB2F4B" w:rsidRDefault="00CB2F4B" w:rsidP="00CB2F4B">
      <w:pPr>
        <w:spacing w:line="360" w:lineRule="auto"/>
        <w:ind w:left="368" w:right="284"/>
        <w:jc w:val="both"/>
        <w:rPr>
          <w:b/>
          <w:bCs/>
          <w:rtl/>
        </w:rPr>
      </w:pPr>
      <w:r>
        <w:rPr>
          <w:rFonts w:hint="cs"/>
          <w:b/>
          <w:bCs/>
          <w:rtl/>
        </w:rPr>
        <w:t>המחלקה מבקשת שנאפשר להם לטפל בך עד סיום הטיפול, אתה מסכים להישאר כאן? לא אני אסביר למה, כי אני יכול לעשות אינטק עם דיור מוגן. לעשות את כל מה שרוצים מהבית.</w:t>
      </w:r>
    </w:p>
    <w:p w:rsidR="00CB2F4B" w:rsidRDefault="00CB2F4B" w:rsidP="00CB2F4B">
      <w:pPr>
        <w:spacing w:line="360" w:lineRule="auto"/>
        <w:ind w:left="368" w:right="284"/>
        <w:jc w:val="both"/>
        <w:rPr>
          <w:b/>
          <w:bCs/>
          <w:rtl/>
        </w:rPr>
      </w:pPr>
      <w:r>
        <w:rPr>
          <w:rFonts w:hint="cs"/>
          <w:b/>
          <w:bCs/>
          <w:rtl/>
        </w:rPr>
        <w:t>איך אני אאמין לך? כי אם לא אני אחזור לכאן.</w:t>
      </w:r>
    </w:p>
    <w:p w:rsidR="00CB2F4B" w:rsidRDefault="00CB2F4B" w:rsidP="00CB2F4B">
      <w:pPr>
        <w:spacing w:line="360" w:lineRule="auto"/>
        <w:ind w:left="368" w:right="284"/>
        <w:jc w:val="both"/>
        <w:rPr>
          <w:b/>
          <w:bCs/>
          <w:rtl/>
        </w:rPr>
      </w:pPr>
      <w:r>
        <w:rPr>
          <w:rFonts w:hint="cs"/>
          <w:b/>
          <w:bCs/>
          <w:rtl/>
        </w:rPr>
        <w:lastRenderedPageBreak/>
        <w:t>מתי לקחת פעם אחרונה קנאביס? לילה לפני האשפוז.</w:t>
      </w:r>
    </w:p>
    <w:p w:rsidR="00CB2F4B" w:rsidRDefault="00CB2F4B" w:rsidP="00CB2F4B">
      <w:pPr>
        <w:spacing w:line="360" w:lineRule="auto"/>
        <w:ind w:left="368" w:right="284"/>
        <w:jc w:val="both"/>
        <w:rPr>
          <w:b/>
          <w:bCs/>
          <w:rtl/>
        </w:rPr>
      </w:pPr>
      <w:r>
        <w:rPr>
          <w:rFonts w:hint="cs"/>
          <w:b/>
          <w:bCs/>
          <w:rtl/>
        </w:rPr>
        <w:t>אתה יודע שאסור לך, ואסור לך גם לשתות, מה יהיה? עשיתי דיור מוגן, סל שיקום, עכשיו אני עושה בדיקות שתן כל שבוע, ויש צ.ט.מ.כ. כל חודש הייתי אצל נטריוס, צעקתי כי אני יכול לעשות הכל.</w:t>
      </w:r>
    </w:p>
    <w:p w:rsidR="00CB2F4B" w:rsidRDefault="00CB2F4B" w:rsidP="00CB2F4B">
      <w:pPr>
        <w:spacing w:line="360" w:lineRule="auto"/>
        <w:ind w:left="368" w:right="284"/>
        <w:jc w:val="both"/>
        <w:rPr>
          <w:b/>
          <w:bCs/>
          <w:rtl/>
        </w:rPr>
      </w:pPr>
      <w:r>
        <w:rPr>
          <w:rFonts w:hint="cs"/>
          <w:b/>
          <w:bCs/>
          <w:rtl/>
        </w:rPr>
        <w:t>אתה שתית ולקחת סמים והפסקת תרופות. נכון.</w:t>
      </w:r>
    </w:p>
    <w:p w:rsidR="00CB2F4B" w:rsidRDefault="00CB2F4B" w:rsidP="00CB2F4B">
      <w:pPr>
        <w:spacing w:line="360" w:lineRule="auto"/>
        <w:ind w:left="368" w:right="284"/>
        <w:jc w:val="both"/>
        <w:rPr>
          <w:b/>
          <w:bCs/>
          <w:rtl/>
        </w:rPr>
      </w:pPr>
      <w:r>
        <w:rPr>
          <w:rFonts w:hint="cs"/>
          <w:b/>
          <w:bCs/>
          <w:rtl/>
        </w:rPr>
        <w:t>עשית הכל כדי להגיע לכאן. אבל אני מודע למצב.</w:t>
      </w:r>
    </w:p>
    <w:p w:rsidR="00CB2F4B" w:rsidRDefault="00CB2F4B" w:rsidP="00CB2F4B">
      <w:pPr>
        <w:spacing w:line="360" w:lineRule="auto"/>
        <w:ind w:left="368" w:right="284"/>
        <w:jc w:val="both"/>
        <w:rPr>
          <w:b/>
          <w:bCs/>
          <w:rtl/>
        </w:rPr>
      </w:pPr>
      <w:r>
        <w:rPr>
          <w:rFonts w:hint="cs"/>
          <w:b/>
          <w:bCs/>
          <w:rtl/>
        </w:rPr>
        <w:t>אתה לא מודע, אתה הורס לעצמך את החיים. המחלקה מבקשת חודש ימים לצורך הטיפול בזריקות טווח, קיבלת רק אחת בינתיים. אני יכול לקנות ושהאחות תעשה לי אותם. [...]."</w:t>
      </w:r>
    </w:p>
    <w:p w:rsidR="00CB2F4B" w:rsidRDefault="00CB2F4B" w:rsidP="00CB2F4B">
      <w:pPr>
        <w:spacing w:line="360" w:lineRule="auto"/>
        <w:ind w:left="368" w:right="284"/>
        <w:jc w:val="both"/>
        <w:rPr>
          <w:b/>
          <w:bCs/>
          <w:rtl/>
        </w:rPr>
      </w:pPr>
    </w:p>
    <w:p w:rsidR="00CB2F4B" w:rsidRDefault="00CB2F4B" w:rsidP="00CB2F4B">
      <w:pPr>
        <w:pStyle w:val="a6"/>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 xml:space="preserve">טרם מתן החלטת הוועדה וכתיבת נימוקיה, קבעה הוועדה הפסיכיאטרית כי מסוכנותו של המערער כלפי עצמו וכלפי אחרים הינה ברמה </w:t>
      </w:r>
      <w:r>
        <w:rPr>
          <w:rFonts w:ascii="David" w:hAnsi="David" w:cs="David"/>
          <w:sz w:val="24"/>
          <w:szCs w:val="24"/>
          <w:u w:val="single"/>
          <w:rtl/>
        </w:rPr>
        <w:t>בינונית</w:t>
      </w:r>
      <w:r>
        <w:rPr>
          <w:rFonts w:ascii="David" w:hAnsi="David" w:cs="David"/>
          <w:sz w:val="24"/>
          <w:szCs w:val="24"/>
          <w:rtl/>
        </w:rPr>
        <w:t>. בשורה בה נדרש היה לדון בבחינת חלופות אשפוז נרשם כי ב"מצבו לא ניתן לשקול חלופת אשפוז – ראה מלל נימוקים".</w:t>
      </w:r>
    </w:p>
    <w:p w:rsidR="00CB2F4B" w:rsidRDefault="00CB2F4B" w:rsidP="00CB2F4B">
      <w:pPr>
        <w:pStyle w:val="a6"/>
        <w:spacing w:after="0" w:line="360" w:lineRule="auto"/>
        <w:ind w:left="-58" w:right="-142"/>
        <w:jc w:val="both"/>
        <w:rPr>
          <w:rFonts w:ascii="David" w:hAnsi="David" w:cs="David"/>
          <w:sz w:val="24"/>
          <w:szCs w:val="24"/>
        </w:rPr>
      </w:pPr>
    </w:p>
    <w:p w:rsidR="00CB2F4B" w:rsidRDefault="00CB2F4B" w:rsidP="00CB2F4B">
      <w:pPr>
        <w:pStyle w:val="a6"/>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t>בטופס ההפניה לוועדה הפסיכיאטרית מיום 19.07.2023 דווח כי המערער כבן 30, רווק, ללא ילדים, התגורר בגפו, עבד בתחום החשמל, התפטר כי נמאס לו, לדבריו עזב את העבודה לפני כחודש בשל מצבו הנפשי, מתקיים מקצבת ביטוח לאומי. המערער מוכר למערכת הפסיכיאטרית מאשפוזים חוזרים. המערער לא מקפיד על טיפול תרופתי בין האשפוזים. המערער אובחן כסובל מהפרעה אפקטיבית דו-קוטבית עם תחלואה כפולה ברקע. לחובתו של המערער מספר רב של תיקים פליליים לרבות בעבירות אלימות, בעברו מאסר של 9 חודשים בגין עבירות הונאה. לאשפוז הנוכחי המערער הובא עקב תיאור של החמרה במצבו הנפשי. מספר ימים טרם קבלתו, לא ישן בלילות, חשב שהוא המשיח, צעק בלילות, הטריד את שכניו וכיו"ב. המערער נלקח לבית החולים, שם נמצא שרוי במצב מאני פסיכוטי עם מרכיב של מסוכנות פיזית. אושפז במחלקה סגורה בהוראת אשפוז עקב מצב פסיכוטי חריף ניכר עם סף גירוי נמוך, אי שקט, קושי בדחיית סיפוקים, מחשבות שווא של גדלות ורדיפה. קיבל טיפול תרופתי אינטנסיבי בזריקות. לאור שיפור במצבו, בתאריך 31.05.2023 חתם על טופס הסכמה לאשפוז, קיבל יציאה לחופשות, ובהדרגה חלה החמרה במצבו הנפשי. ביום 09.07.2023 התבקשה עבורו הוראת אשפוז עקב חזרה של תסמינים מאנים פסיכוטיים מלויים בהתנהגות חסרת שיפוט. הוראת האשפוז הוארכה בשנית. במקביל בוצע שינוי תרופתי בטיפול לאור עמידות לטיפול. למרות השינוי, טרם חל שיפור במצבו, עודנו שרוי במצב פסיכוטי מניפורמי מלווה בהתנהגות חסרת שיפוט, סף גירוי וסף תסכול נמוכים, אי שקט פסיכומוטורי ניכר, תובנה, בוחן מציאות ושיפוט לקויים. בית החולים העריך כי במצבו הנוכחי המערער עודנו מהווה סכנה לעצמו ולסובביו, על כן ביקש להאריך את אשפוזו לעוד חודש ימים.</w:t>
      </w:r>
    </w:p>
    <w:p w:rsidR="00CB2F4B" w:rsidRDefault="00CB2F4B" w:rsidP="00CB2F4B">
      <w:pPr>
        <w:spacing w:line="360" w:lineRule="auto"/>
        <w:ind w:left="368" w:right="284"/>
        <w:jc w:val="both"/>
        <w:rPr>
          <w:b/>
          <w:bCs/>
        </w:rPr>
      </w:pPr>
    </w:p>
    <w:p w:rsidR="00CB2F4B" w:rsidRDefault="00CB2F4B" w:rsidP="00CB2F4B">
      <w:pPr>
        <w:pStyle w:val="a6"/>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תמצית נימוקי הערעור הינה כי הוועדה הפסיכיאטרית שגתה עת קבעה שמסוכנותו של המערער לעצמו ולאחרים ברמה בינונית, שכן מעיון במסמכים הרפואיים של המערער עולה כי לא נשקפת ממנו כל סכנה, כי הוועדה הפסיכיאטרית שגתה כאשר לא שקלה כלל חלופות אשפוז בעניינו של המערער, וכי ההארכה שנקבעה עד ליום 10.08.2023 אינה מידתית.</w:t>
      </w:r>
    </w:p>
    <w:p w:rsidR="00CB2F4B" w:rsidRDefault="00CB2F4B" w:rsidP="00CB2F4B">
      <w:pPr>
        <w:pStyle w:val="a6"/>
        <w:spacing w:after="0" w:line="360" w:lineRule="auto"/>
        <w:ind w:left="-58" w:right="-142"/>
        <w:jc w:val="both"/>
        <w:rPr>
          <w:rFonts w:ascii="David" w:hAnsi="David" w:cs="David"/>
          <w:sz w:val="24"/>
          <w:szCs w:val="24"/>
        </w:rPr>
      </w:pPr>
    </w:p>
    <w:p w:rsidR="00CB2F4B" w:rsidRDefault="00CB2F4B" w:rsidP="00CB2F4B">
      <w:pPr>
        <w:pStyle w:val="a6"/>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עיון במסמכיו הרפואיים של המערער מלמד כי על פי רוב, במחלקה המערער קם בזמן, דואג לצרכיו, שקט כלפי חוץ, יוצר קשרים סבירים, ללא תלונות מיוחדות, אוכל ושותה, מקבל טיפול תרופתי, מצב רוחו יציב, משתף פעולה עם הצוות הרפואי כפי יכולתו, שומר על כללי המחלקה. עוד נרשם כי המערער שולל שמיעת קולות, לא נראה הוזה, שולל מחשבות וכוונות אובדניות או תוקפניות, שיפוט ובוחן מציאות ותובנה במגמת שיפור. עדויות ממושכות אלה עומדים לזכותו וטובתו של המערער.</w:t>
      </w:r>
    </w:p>
    <w:p w:rsidR="00CB2F4B" w:rsidRDefault="00CB2F4B" w:rsidP="00CB2F4B">
      <w:pPr>
        <w:pStyle w:val="a6"/>
        <w:spacing w:after="0" w:line="360" w:lineRule="auto"/>
        <w:ind w:left="-58" w:right="-142"/>
        <w:jc w:val="both"/>
        <w:rPr>
          <w:rFonts w:ascii="David" w:hAnsi="David" w:cs="David"/>
          <w:sz w:val="24"/>
          <w:szCs w:val="24"/>
        </w:rPr>
      </w:pPr>
    </w:p>
    <w:p w:rsidR="00CB2F4B" w:rsidRDefault="00CB2F4B" w:rsidP="00CB2F4B">
      <w:pPr>
        <w:pStyle w:val="a6"/>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t>מנגד, מסוכנותו של המערער כלפי עצמו ואחרים הוכחה כבר בעבר. זה הוא אינו האשפוז הראשון של המערער, ואין להתעלם מעברו הפלילי. מסוכנותו של המערער כלפי עצמו או אחרים עלולה להתפרץ שוב באם יחדל מקבלת טיפול רפואי ותרופתי, דבר שכבר אירע וכן בא לידי ביטוי בדיון שהתנהל בפני הוועדה הפסיכיאטרית, שם הודה המערער כי הפסיק ליטול תרופותיו, וכן השתמש בקנאביס ואלכוהול על אף האיסור לעשות כן (השתמש בקנאביס לילה לפני האשפוז). עברו של המערער הינה הוכחה כי אכן התנהגותו של המערער יש בה כדי לתת תוקף להערכת מסוכנותו כלפי עצמו או אחרים.</w:t>
      </w:r>
    </w:p>
    <w:p w:rsidR="00CB2F4B" w:rsidRDefault="00CB2F4B" w:rsidP="00CB2F4B">
      <w:pPr>
        <w:spacing w:line="360" w:lineRule="auto"/>
        <w:ind w:right="-142"/>
        <w:jc w:val="both"/>
      </w:pPr>
    </w:p>
    <w:p w:rsidR="00CB2F4B" w:rsidRDefault="00CB2F4B" w:rsidP="00CB2F4B">
      <w:pPr>
        <w:pStyle w:val="a6"/>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לאחר ששקלתי את עמדות הצדדים ועיינתי בחומר הרפואי בעניינו של המערער, שממנו עולה כי ההטבה במצבו נמשכת וכי ראוי גם ראוי במצב זה לבחון לעומק מדוע אין בחלופה אחרת שאיננה אשפוז כפוי כדי להשיג את מטרת האשפוז. ודוק, מטרת האשפוז איננה שיפור אופטימלי אלא שיפור כזה המאפשר אמצעי טיפול מידתי יותר המאיין את המסוכנות הנשקפת מהמערער כלפי עצמו וכלפי אחרים.</w:t>
      </w:r>
    </w:p>
    <w:p w:rsidR="00CB2F4B" w:rsidRDefault="00CB2F4B" w:rsidP="00CB2F4B">
      <w:pPr>
        <w:pStyle w:val="a6"/>
        <w:spacing w:after="0" w:line="360" w:lineRule="auto"/>
        <w:ind w:left="-58" w:right="-142"/>
        <w:jc w:val="both"/>
        <w:rPr>
          <w:rFonts w:ascii="David" w:hAnsi="David" w:cs="David"/>
          <w:sz w:val="24"/>
          <w:szCs w:val="24"/>
        </w:rPr>
      </w:pPr>
    </w:p>
    <w:p w:rsidR="00CB2F4B" w:rsidRDefault="00CB2F4B" w:rsidP="00CB2F4B">
      <w:pPr>
        <w:pStyle w:val="a6"/>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t xml:space="preserve">אשר על כן, </w:t>
      </w:r>
      <w:r>
        <w:rPr>
          <w:rFonts w:ascii="David" w:hAnsi="David" w:cs="David"/>
          <w:b/>
          <w:bCs/>
          <w:sz w:val="24"/>
          <w:szCs w:val="24"/>
          <w:u w:val="single"/>
          <w:rtl/>
        </w:rPr>
        <w:t>אני מורה כי עניינו של המערער יבוא בפני הוועדה הפסיכיאטרית עד ולא יאוחר מיום 03.08.2023.</w:t>
      </w:r>
      <w:r>
        <w:rPr>
          <w:rFonts w:ascii="David" w:hAnsi="David" w:cs="David"/>
          <w:sz w:val="24"/>
          <w:szCs w:val="24"/>
          <w:rtl/>
        </w:rPr>
        <w:t xml:space="preserve"> על הוועדה לבחון לעומק, באופן שערכאת הערעור תוכל לבקר את החלטתה לגבי חלופות אשפוז הולמות שאינן אשפוז כפוי שהוא כאמור, האמצעי הקיצוני ביותר.</w:t>
      </w:r>
    </w:p>
    <w:p w:rsidR="00CB2F4B" w:rsidRDefault="00CB2F4B" w:rsidP="00CB2F4B">
      <w:pPr>
        <w:pStyle w:val="a6"/>
        <w:spacing w:after="0" w:line="360" w:lineRule="auto"/>
        <w:ind w:left="-58" w:right="-142"/>
        <w:jc w:val="both"/>
        <w:rPr>
          <w:rFonts w:ascii="David" w:hAnsi="David" w:cs="David"/>
          <w:sz w:val="24"/>
          <w:szCs w:val="24"/>
        </w:rPr>
      </w:pPr>
    </w:p>
    <w:p w:rsidR="00CB2F4B" w:rsidRDefault="00CB2F4B" w:rsidP="00CB2F4B">
      <w:pPr>
        <w:pStyle w:val="a6"/>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t>הערעור מתקבל בחלקו.</w:t>
      </w:r>
    </w:p>
    <w:p w:rsidR="00CB2F4B" w:rsidRPr="00CB2F4B" w:rsidRDefault="00CB2F4B" w:rsidP="00CB2F4B">
      <w:pPr>
        <w:pStyle w:val="a6"/>
        <w:rPr>
          <w:rFonts w:ascii="David" w:hAnsi="David" w:cs="David"/>
          <w:sz w:val="24"/>
          <w:szCs w:val="24"/>
          <w:rtl/>
        </w:rPr>
      </w:pPr>
    </w:p>
    <w:p w:rsidR="00CB2F4B" w:rsidRDefault="00CB2F4B" w:rsidP="00CB2F4B">
      <w:pPr>
        <w:pStyle w:val="a6"/>
        <w:numPr>
          <w:ilvl w:val="0"/>
          <w:numId w:val="1"/>
        </w:numPr>
        <w:spacing w:after="0" w:line="360" w:lineRule="auto"/>
        <w:ind w:left="-58" w:right="-142"/>
        <w:jc w:val="both"/>
        <w:rPr>
          <w:rFonts w:ascii="David" w:hAnsi="David" w:cs="David"/>
          <w:sz w:val="24"/>
          <w:szCs w:val="24"/>
        </w:rPr>
      </w:pPr>
      <w:r>
        <w:rPr>
          <w:rFonts w:ascii="David" w:hAnsi="David" w:cs="David" w:hint="cs"/>
          <w:sz w:val="24"/>
          <w:szCs w:val="24"/>
          <w:rtl/>
        </w:rPr>
        <w:t>ההחלטה מותרת לפרסום בהשמטת פרטים מזהים.</w:t>
      </w:r>
    </w:p>
    <w:p w:rsidR="00CB2F4B" w:rsidRDefault="00CB2F4B" w:rsidP="00CB2F4B">
      <w:pPr>
        <w:spacing w:line="360" w:lineRule="auto"/>
        <w:ind w:right="-142"/>
        <w:jc w:val="both"/>
        <w:rPr>
          <w:sz w:val="6"/>
          <w:szCs w:val="6"/>
          <w:rtl/>
        </w:rPr>
      </w:pPr>
      <w:r>
        <w:rPr>
          <w:rFonts w:hint="cs"/>
          <w:sz w:val="6"/>
          <w:szCs w:val="6"/>
          <w:rtl/>
        </w:rPr>
        <w:t>&lt;#4#&gt;</w:t>
      </w:r>
    </w:p>
    <w:p w:rsidR="00CB2F4B" w:rsidRDefault="00CB2F4B" w:rsidP="00CB2F4B">
      <w:pPr>
        <w:rPr>
          <w:rtl/>
        </w:rPr>
      </w:pPr>
    </w:p>
    <w:p w:rsidR="00CB2F4B" w:rsidRDefault="00CB2F4B" w:rsidP="00CB2F4B">
      <w:pPr>
        <w:spacing w:line="360" w:lineRule="auto"/>
        <w:rPr>
          <w:rtl/>
        </w:rPr>
      </w:pPr>
      <w:r>
        <w:rPr>
          <w:rFonts w:hint="cs"/>
          <w:b/>
          <w:bCs/>
          <w:rtl/>
        </w:rPr>
        <w:t xml:space="preserve">ניתנה והודעה היום </w:t>
      </w:r>
      <w:sdt>
        <w:sdtPr>
          <w:rPr>
            <w:rFonts w:hint="cs"/>
            <w:rtl/>
          </w:rPr>
          <w:alias w:val="2207"/>
          <w:tag w:val="2207"/>
          <w:id w:val="1329636924"/>
          <w:text w:multiLine="1"/>
        </w:sdtPr>
        <w:sdtEndPr/>
        <w:sdtContent>
          <w:r>
            <w:rPr>
              <w:rFonts w:hint="cs"/>
              <w:b/>
              <w:bCs/>
              <w:rtl/>
            </w:rPr>
            <w:t>י"ב אב תשפ"ג</w:t>
          </w:r>
        </w:sdtContent>
      </w:sdt>
      <w:r>
        <w:rPr>
          <w:rFonts w:hint="cs"/>
          <w:b/>
          <w:bCs/>
          <w:rtl/>
        </w:rPr>
        <w:t xml:space="preserve">, </w:t>
      </w:r>
      <w:sdt>
        <w:sdtPr>
          <w:rPr>
            <w:rFonts w:hint="cs"/>
            <w:rtl/>
          </w:rPr>
          <w:alias w:val="2206"/>
          <w:tag w:val="2206"/>
          <w:id w:val="-1474593809"/>
          <w:text w:multiLine="1"/>
        </w:sdtPr>
        <w:sdtEndPr/>
        <w:sdtContent>
          <w:r>
            <w:rPr>
              <w:rFonts w:hint="cs"/>
              <w:b/>
              <w:bCs/>
            </w:rPr>
            <w:t>30/07/2023</w:t>
          </w:r>
        </w:sdtContent>
      </w:sdt>
      <w:r>
        <w:rPr>
          <w:rFonts w:hint="cs"/>
          <w:b/>
          <w:bCs/>
          <w:rtl/>
        </w:rPr>
        <w:t xml:space="preserve"> במעמד הנוכחים.</w:t>
      </w:r>
    </w:p>
    <w:tbl>
      <w:tblPr>
        <w:tblStyle w:val="a5"/>
        <w:bidiVisual/>
        <w:tblW w:w="0" w:type="auto"/>
        <w:tblInd w:w="4366" w:type="dxa"/>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CB2F4B" w:rsidTr="00CB2F4B">
        <w:trPr>
          <w:trHeight w:val="316"/>
        </w:trPr>
        <w:tc>
          <w:tcPr>
            <w:tcW w:w="3936" w:type="dxa"/>
            <w:tcBorders>
              <w:top w:val="nil"/>
              <w:left w:val="nil"/>
              <w:bottom w:val="single" w:sz="4" w:space="0" w:color="auto"/>
              <w:right w:val="nil"/>
            </w:tcBorders>
            <w:vAlign w:val="center"/>
          </w:tcPr>
          <w:p w:rsidR="00CB2F4B" w:rsidRDefault="00DB7DF1">
            <w:pPr>
              <w:jc w:val="center"/>
              <w:rPr>
                <w:rtl/>
              </w:rPr>
            </w:pPr>
            <w:sdt>
              <w:sdtPr>
                <w:rPr>
                  <w:rFonts w:ascii="Times New Roman" w:eastAsia="Times New Roman" w:hAnsi="Times New Roman" w:cs="Times New Roman"/>
                  <w:rtl/>
                </w:rPr>
                <w:alias w:val="MergeField"/>
                <w:tag w:val="2144"/>
                <w:id w:val="-912081697"/>
              </w:sdtPr>
              <w:sdtEndPr/>
              <w:sdtContent>
                <w:r w:rsidR="00CB2F4B">
                  <w:rPr>
                    <w:noProof/>
                  </w:rPr>
                  <w:drawing>
                    <wp:inline distT="0" distB="0" distL="0" distR="0">
                      <wp:extent cx="448310" cy="845185"/>
                      <wp:effectExtent l="0" t="0" r="889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8310" cy="845185"/>
                              </a:xfrm>
                              <a:prstGeom prst="rect">
                                <a:avLst/>
                              </a:prstGeom>
                              <a:noFill/>
                              <a:ln>
                                <a:noFill/>
                              </a:ln>
                            </pic:spPr>
                          </pic:pic>
                        </a:graphicData>
                      </a:graphic>
                    </wp:inline>
                  </w:drawing>
                </w:r>
              </w:sdtContent>
            </w:sdt>
          </w:p>
          <w:p w:rsidR="00CB2F4B" w:rsidRDefault="00CB2F4B">
            <w:pPr>
              <w:jc w:val="center"/>
            </w:pPr>
          </w:p>
        </w:tc>
      </w:tr>
      <w:tr w:rsidR="00CB2F4B" w:rsidTr="00CB2F4B">
        <w:trPr>
          <w:trHeight w:val="361"/>
        </w:trPr>
        <w:tc>
          <w:tcPr>
            <w:tcW w:w="3936" w:type="dxa"/>
            <w:tcBorders>
              <w:top w:val="single" w:sz="4" w:space="0" w:color="auto"/>
              <w:left w:val="nil"/>
              <w:bottom w:val="nil"/>
              <w:right w:val="nil"/>
            </w:tcBorders>
            <w:vAlign w:val="center"/>
            <w:hideMark/>
          </w:tcPr>
          <w:p w:rsidR="00CB2F4B" w:rsidRDefault="00DB7DF1">
            <w:pPr>
              <w:jc w:val="center"/>
              <w:rPr>
                <w:b/>
                <w:bCs/>
                <w:rtl/>
              </w:rPr>
            </w:pPr>
            <w:sdt>
              <w:sdtPr>
                <w:rPr>
                  <w:b/>
                  <w:bCs/>
                  <w:rtl/>
                </w:rPr>
                <w:alias w:val="2141"/>
                <w:tag w:val="2141"/>
                <w:id w:val="2119712613"/>
                <w:placeholder>
                  <w:docPart w:val="D950A5D5A70B4D37B051CF0EE476A1B6"/>
                </w:placeholder>
                <w:text w:multiLine="1"/>
              </w:sdtPr>
              <w:sdtEndPr/>
              <w:sdtContent>
                <w:r w:rsidR="00CB2F4B">
                  <w:rPr>
                    <w:b/>
                    <w:bCs/>
                    <w:rtl/>
                  </w:rPr>
                  <w:t>אספרנצה</w:t>
                </w:r>
              </w:sdtContent>
            </w:sdt>
            <w:r w:rsidR="00CB2F4B">
              <w:rPr>
                <w:rFonts w:ascii="Times New Roman" w:eastAsia="Times New Roman" w:hAnsi="Times New Roman" w:hint="cs"/>
                <w:b/>
                <w:bCs/>
                <w:rtl/>
              </w:rPr>
              <w:t xml:space="preserve"> </w:t>
            </w:r>
            <w:sdt>
              <w:sdtPr>
                <w:rPr>
                  <w:rFonts w:ascii="Times New Roman" w:eastAsia="Times New Roman" w:hAnsi="Times New Roman" w:cs="Times New Roman"/>
                  <w:b/>
                  <w:bCs/>
                  <w:rtl/>
                </w:rPr>
                <w:alias w:val="2142"/>
                <w:tag w:val="2142"/>
                <w:id w:val="-26639521"/>
                <w:placeholder>
                  <w:docPart w:val="E8BA64409C06412E97AE42AB7D5E4595"/>
                </w:placeholder>
                <w:text w:multiLine="1"/>
              </w:sdtPr>
              <w:sdtEndPr/>
              <w:sdtContent>
                <w:r w:rsidR="00CB2F4B">
                  <w:rPr>
                    <w:rFonts w:ascii="Times New Roman" w:eastAsia="Times New Roman" w:hAnsi="Times New Roman"/>
                    <w:b/>
                    <w:bCs/>
                    <w:rtl/>
                  </w:rPr>
                  <w:t>אלון</w:t>
                </w:r>
              </w:sdtContent>
            </w:sdt>
            <w:r w:rsidR="00CB2F4B">
              <w:rPr>
                <w:rFonts w:ascii="Times New Roman" w:eastAsia="Times New Roman" w:hAnsi="Times New Roman" w:hint="cs"/>
                <w:b/>
                <w:bCs/>
                <w:rtl/>
              </w:rPr>
              <w:t xml:space="preserve">, </w:t>
            </w:r>
            <w:sdt>
              <w:sdtPr>
                <w:rPr>
                  <w:rFonts w:ascii="Times New Roman" w:eastAsia="Times New Roman" w:hAnsi="Times New Roman" w:cs="Times New Roman"/>
                  <w:b/>
                  <w:bCs/>
                  <w:rtl/>
                </w:rPr>
                <w:alias w:val="2143"/>
                <w:tag w:val="2143"/>
                <w:id w:val="1647695366"/>
                <w:placeholder>
                  <w:docPart w:val="93F11C22B1AC4C42BA97D7C2431CBD07"/>
                </w:placeholder>
                <w:text w:multiLine="1"/>
              </w:sdtPr>
              <w:sdtEndPr/>
              <w:sdtContent>
                <w:r w:rsidR="00CB2F4B">
                  <w:rPr>
                    <w:rFonts w:ascii="Times New Roman" w:eastAsia="Times New Roman" w:hAnsi="Times New Roman"/>
                    <w:b/>
                    <w:bCs/>
                    <w:rtl/>
                  </w:rPr>
                  <w:t>שופטת</w:t>
                </w:r>
              </w:sdtContent>
            </w:sdt>
          </w:p>
        </w:tc>
      </w:tr>
    </w:tbl>
    <w:p w:rsidR="00CB2F4B" w:rsidRDefault="00CB2F4B"/>
    <w:sectPr w:rsidR="00CB2F4B" w:rsidSect="00CB2F4B">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135" w:left="1797" w:header="709" w:footer="709" w:gutter="0"/>
      <w:lnNumType w:countBy="1"/>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7DF1" w:rsidRDefault="00DB7DF1" w:rsidP="00CB2F4B">
      <w:r>
        <w:separator/>
      </w:r>
    </w:p>
  </w:endnote>
  <w:endnote w:type="continuationSeparator" w:id="0">
    <w:p w:rsidR="00DB7DF1" w:rsidRDefault="00DB7DF1" w:rsidP="00CB2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BB0" w:rsidRDefault="00764BB0">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316682942"/>
      <w:docPartObj>
        <w:docPartGallery w:val="Page Numbers (Bottom of Page)"/>
        <w:docPartUnique/>
      </w:docPartObj>
    </w:sdtPr>
    <w:sdtEndPr>
      <w:rPr>
        <w:cs/>
      </w:rPr>
    </w:sdtEndPr>
    <w:sdtContent>
      <w:p w:rsidR="00CB2F4B" w:rsidRDefault="00CB2F4B">
        <w:pPr>
          <w:pStyle w:val="a8"/>
          <w:jc w:val="center"/>
          <w:rPr>
            <w:rtl/>
            <w:cs/>
          </w:rPr>
        </w:pPr>
        <w:r>
          <w:fldChar w:fldCharType="begin"/>
        </w:r>
        <w:r>
          <w:rPr>
            <w:rtl/>
            <w:cs/>
          </w:rPr>
          <w:instrText>PAGE   \* MERGEFORMAT</w:instrText>
        </w:r>
        <w:r>
          <w:fldChar w:fldCharType="separate"/>
        </w:r>
        <w:r w:rsidR="00DE631E" w:rsidRPr="00DE631E">
          <w:rPr>
            <w:noProof/>
            <w:rtl/>
            <w:lang w:val="he-IL"/>
          </w:rPr>
          <w:t>1</w:t>
        </w:r>
        <w:r>
          <w:fldChar w:fldCharType="end"/>
        </w:r>
      </w:p>
    </w:sdtContent>
  </w:sdt>
  <w:p w:rsidR="00CB2F4B" w:rsidRDefault="00CB2F4B">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BB0" w:rsidRDefault="00764BB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7DF1" w:rsidRDefault="00DB7DF1" w:rsidP="00CB2F4B">
      <w:r>
        <w:separator/>
      </w:r>
    </w:p>
  </w:footnote>
  <w:footnote w:type="continuationSeparator" w:id="0">
    <w:p w:rsidR="00DB7DF1" w:rsidRDefault="00DB7DF1" w:rsidP="00CB2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BB0" w:rsidRDefault="00764BB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2F4B" w:rsidRDefault="00CB2F4B" w:rsidP="00CB2F4B">
    <w:pPr>
      <w:pStyle w:val="a3"/>
      <w:jc w:val="center"/>
    </w:pPr>
    <w:r>
      <w:rPr>
        <w:noProof/>
      </w:rPr>
      <w:drawing>
        <wp:inline distT="0" distB="0" distL="0" distR="0" wp14:anchorId="26B719AB" wp14:editId="596081B2">
          <wp:extent cx="517525" cy="569595"/>
          <wp:effectExtent l="0" t="0" r="0" b="1905"/>
          <wp:docPr id="7" name="תמונה 7"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7525" cy="56959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5396"/>
      <w:gridCol w:w="281"/>
      <w:gridCol w:w="2635"/>
    </w:tblGrid>
    <w:tr w:rsidR="00CB2F4B" w:rsidTr="00B42518">
      <w:trPr>
        <w:trHeight w:val="418"/>
        <w:jc w:val="center"/>
      </w:trPr>
      <w:sdt>
        <w:sdtPr>
          <w:rPr>
            <w:rtl/>
          </w:rPr>
          <w:alias w:val="162"/>
          <w:tag w:val="162"/>
          <w:id w:val="1282998781"/>
          <w:text w:multiLine="1"/>
        </w:sdtPr>
        <w:sdtEndPr/>
        <w:sdtContent>
          <w:tc>
            <w:tcPr>
              <w:tcW w:w="8504" w:type="dxa"/>
              <w:gridSpan w:val="3"/>
              <w:hideMark/>
            </w:tcPr>
            <w:p w:rsidR="00CB2F4B" w:rsidRDefault="00CB2F4B" w:rsidP="00CB2F4B">
              <w:pPr>
                <w:pStyle w:val="a3"/>
                <w:jc w:val="center"/>
                <w:rPr>
                  <w:rtl/>
                </w:rPr>
              </w:pPr>
              <w:r>
                <w:rPr>
                  <w:rFonts w:ascii="Tahoma" w:hAnsi="Tahoma" w:cs="Tahoma"/>
                  <w:b/>
                  <w:bCs/>
                  <w:color w:val="000080"/>
                  <w:sz w:val="20"/>
                  <w:szCs w:val="20"/>
                  <w:rtl/>
                </w:rPr>
                <w:t>בית המשפט המחוזי בחיפה בשבתו כבית-משפט לערעורים אזרחיים</w:t>
              </w:r>
            </w:p>
          </w:tc>
        </w:sdtContent>
      </w:sdt>
    </w:tr>
    <w:tr w:rsidR="00CB2F4B" w:rsidTr="00B42518">
      <w:trPr>
        <w:trHeight w:val="337"/>
        <w:jc w:val="center"/>
      </w:trPr>
      <w:tc>
        <w:tcPr>
          <w:tcW w:w="5527" w:type="dxa"/>
          <w:hideMark/>
        </w:tcPr>
        <w:p w:rsidR="00CB2F4B" w:rsidRDefault="00DB7DF1" w:rsidP="00CB2F4B">
          <w:pPr>
            <w:rPr>
              <w:b/>
              <w:bCs/>
              <w:sz w:val="26"/>
              <w:szCs w:val="26"/>
              <w:rtl/>
            </w:rPr>
          </w:pPr>
          <w:sdt>
            <w:sdtPr>
              <w:rPr>
                <w:rFonts w:hint="cs"/>
                <w:b/>
                <w:bCs/>
                <w:sz w:val="26"/>
                <w:szCs w:val="26"/>
                <w:rtl/>
              </w:rPr>
              <w:alias w:val="849"/>
              <w:tag w:val="849"/>
              <w:id w:val="-1617746001"/>
              <w:text w:multiLine="1"/>
            </w:sdtPr>
            <w:sdtEndPr/>
            <w:sdtContent>
              <w:r w:rsidR="00CB2F4B">
                <w:rPr>
                  <w:rFonts w:hint="cs"/>
                  <w:b/>
                  <w:bCs/>
                  <w:sz w:val="26"/>
                  <w:szCs w:val="26"/>
                  <w:rtl/>
                </w:rPr>
                <w:t>ע"ו</w:t>
              </w:r>
            </w:sdtContent>
          </w:sdt>
          <w:r w:rsidR="00CB2F4B">
            <w:rPr>
              <w:rFonts w:hint="cs"/>
              <w:b/>
              <w:bCs/>
              <w:sz w:val="26"/>
              <w:szCs w:val="26"/>
              <w:rtl/>
            </w:rPr>
            <w:t xml:space="preserve"> </w:t>
          </w:r>
          <w:sdt>
            <w:sdtPr>
              <w:rPr>
                <w:rFonts w:hint="cs"/>
                <w:b/>
                <w:bCs/>
                <w:sz w:val="26"/>
                <w:szCs w:val="26"/>
                <w:rtl/>
              </w:rPr>
              <w:alias w:val="158"/>
              <w:tag w:val="158"/>
              <w:id w:val="-1470517263"/>
              <w:text w:multiLine="1"/>
            </w:sdtPr>
            <w:sdtEndPr/>
            <w:sdtContent>
              <w:r w:rsidR="00CB2F4B">
                <w:rPr>
                  <w:rFonts w:hint="cs"/>
                  <w:b/>
                  <w:bCs/>
                  <w:sz w:val="26"/>
                  <w:szCs w:val="26"/>
                  <w:rtl/>
                </w:rPr>
                <w:t>56269-07-23</w:t>
              </w:r>
            </w:sdtContent>
          </w:sdt>
          <w:r w:rsidR="00CB2F4B">
            <w:rPr>
              <w:rFonts w:hint="cs"/>
              <w:b/>
              <w:bCs/>
              <w:sz w:val="26"/>
              <w:szCs w:val="26"/>
              <w:rtl/>
            </w:rPr>
            <w:t xml:space="preserve"> ב' נ' מרכז לבריאות הנפש שער מנשה</w:t>
          </w:r>
        </w:p>
      </w:tc>
      <w:tc>
        <w:tcPr>
          <w:tcW w:w="283" w:type="dxa"/>
        </w:tcPr>
        <w:p w:rsidR="00CB2F4B" w:rsidRDefault="00CB2F4B" w:rsidP="00CB2F4B">
          <w:pPr>
            <w:pStyle w:val="a3"/>
            <w:jc w:val="right"/>
            <w:rPr>
              <w:b/>
              <w:bCs/>
              <w:sz w:val="26"/>
              <w:szCs w:val="26"/>
              <w:rtl/>
            </w:rPr>
          </w:pPr>
        </w:p>
      </w:tc>
      <w:sdt>
        <w:sdtPr>
          <w:rPr>
            <w:rFonts w:hint="cs"/>
            <w:b/>
            <w:bCs/>
            <w:sz w:val="26"/>
            <w:szCs w:val="26"/>
            <w:rtl/>
          </w:rPr>
          <w:alias w:val="2633"/>
          <w:tag w:val="2633"/>
          <w:id w:val="991297748"/>
          <w:text w:multiLine="1"/>
        </w:sdtPr>
        <w:sdtEndPr/>
        <w:sdtContent>
          <w:tc>
            <w:tcPr>
              <w:tcW w:w="2694" w:type="dxa"/>
              <w:hideMark/>
            </w:tcPr>
            <w:p w:rsidR="00CB2F4B" w:rsidRDefault="00CB2F4B" w:rsidP="00CB2F4B">
              <w:pPr>
                <w:pStyle w:val="a3"/>
                <w:tabs>
                  <w:tab w:val="clear" w:pos="4153"/>
                </w:tabs>
                <w:jc w:val="right"/>
                <w:rPr>
                  <w:b/>
                  <w:bCs/>
                  <w:sz w:val="26"/>
                  <w:szCs w:val="26"/>
                  <w:rtl/>
                </w:rPr>
              </w:pPr>
              <w:r>
                <w:rPr>
                  <w:rFonts w:hint="cs"/>
                  <w:b/>
                  <w:bCs/>
                  <w:sz w:val="26"/>
                  <w:szCs w:val="26"/>
                  <w:rtl/>
                </w:rPr>
                <w:t>30 יולי 2023</w:t>
              </w:r>
            </w:p>
          </w:tc>
        </w:sdtContent>
      </w:sdt>
    </w:tr>
  </w:tbl>
  <w:p w:rsidR="00CB2F4B" w:rsidRDefault="00CB2F4B" w:rsidP="00CB2F4B">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BB0" w:rsidRDefault="00764BB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6F6830"/>
    <w:multiLevelType w:val="hybridMultilevel"/>
    <w:tmpl w:val="A79CABE2"/>
    <w:lvl w:ilvl="0" w:tplc="740C64A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F4B"/>
    <w:rsid w:val="00374D13"/>
    <w:rsid w:val="00587806"/>
    <w:rsid w:val="00764BB0"/>
    <w:rsid w:val="007E51EC"/>
    <w:rsid w:val="00A673D8"/>
    <w:rsid w:val="00CB2F4B"/>
    <w:rsid w:val="00DB7DF1"/>
    <w:rsid w:val="00DE012C"/>
    <w:rsid w:val="00DE631E"/>
    <w:rsid w:val="00F0210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900076F-29A5-4398-A6EE-BDF4CE162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2F4B"/>
    <w:pPr>
      <w:bidi/>
      <w:spacing w:after="0" w:line="240" w:lineRule="auto"/>
    </w:pPr>
    <w:rPr>
      <w:rFonts w:ascii="David" w:eastAsia="David" w:hAnsi="David" w:cs="Davi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B2F4B"/>
    <w:pPr>
      <w:tabs>
        <w:tab w:val="center" w:pos="4153"/>
        <w:tab w:val="right" w:pos="8306"/>
      </w:tabs>
    </w:pPr>
  </w:style>
  <w:style w:type="character" w:customStyle="1" w:styleId="a4">
    <w:name w:val="כותרת עליונה תו"/>
    <w:basedOn w:val="a0"/>
    <w:link w:val="a3"/>
    <w:uiPriority w:val="99"/>
    <w:rsid w:val="00CB2F4B"/>
    <w:rPr>
      <w:rFonts w:ascii="David" w:eastAsia="David" w:hAnsi="David" w:cs="David"/>
      <w:sz w:val="24"/>
      <w:szCs w:val="24"/>
    </w:rPr>
  </w:style>
  <w:style w:type="paragraph" w:styleId="NormalWeb">
    <w:name w:val="Normal (Web)"/>
    <w:basedOn w:val="a"/>
    <w:uiPriority w:val="99"/>
    <w:semiHidden/>
    <w:unhideWhenUsed/>
    <w:rsid w:val="00CB2F4B"/>
    <w:pPr>
      <w:bidi w:val="0"/>
      <w:spacing w:before="100" w:beforeAutospacing="1" w:after="100" w:afterAutospacing="1"/>
    </w:pPr>
    <w:rPr>
      <w:rFonts w:ascii="Times New Roman" w:eastAsiaTheme="minorEastAsia" w:hAnsi="Times New Roman" w:cs="Times New Roman"/>
    </w:rPr>
  </w:style>
  <w:style w:type="paragraph" w:customStyle="1" w:styleId="12">
    <w:name w:val="רגיל + ‏12 נק'"/>
    <w:aliases w:val="מיושר לשני הצדדים,מרווח בין שורות:  שורה וחצי"/>
    <w:basedOn w:val="a"/>
    <w:rsid w:val="00CB2F4B"/>
    <w:rPr>
      <w:rFonts w:ascii="Times New Roman" w:eastAsia="Times New Roman" w:hAnsi="Times New Roman"/>
      <w:b/>
      <w:bCs/>
      <w:u w:val="single"/>
    </w:rPr>
  </w:style>
  <w:style w:type="table" w:styleId="a5">
    <w:name w:val="Table Grid"/>
    <w:basedOn w:val="a1"/>
    <w:rsid w:val="00CB2F4B"/>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CB2F4B"/>
    <w:pPr>
      <w:spacing w:after="160" w:line="254" w:lineRule="auto"/>
      <w:ind w:left="720"/>
      <w:contextualSpacing/>
    </w:pPr>
    <w:rPr>
      <w:rFonts w:asciiTheme="minorHAnsi" w:eastAsiaTheme="minorHAnsi" w:hAnsiTheme="minorHAnsi" w:cstheme="minorBidi"/>
      <w:sz w:val="22"/>
      <w:szCs w:val="22"/>
    </w:rPr>
  </w:style>
  <w:style w:type="character" w:styleId="a7">
    <w:name w:val="line number"/>
    <w:basedOn w:val="a0"/>
    <w:uiPriority w:val="99"/>
    <w:semiHidden/>
    <w:unhideWhenUsed/>
    <w:rsid w:val="00CB2F4B"/>
  </w:style>
  <w:style w:type="paragraph" w:styleId="a8">
    <w:name w:val="footer"/>
    <w:basedOn w:val="a"/>
    <w:link w:val="a9"/>
    <w:uiPriority w:val="99"/>
    <w:unhideWhenUsed/>
    <w:rsid w:val="00CB2F4B"/>
    <w:pPr>
      <w:tabs>
        <w:tab w:val="center" w:pos="4153"/>
        <w:tab w:val="right" w:pos="8306"/>
      </w:tabs>
    </w:pPr>
  </w:style>
  <w:style w:type="character" w:customStyle="1" w:styleId="a9">
    <w:name w:val="כותרת תחתונה תו"/>
    <w:basedOn w:val="a0"/>
    <w:link w:val="a8"/>
    <w:uiPriority w:val="99"/>
    <w:rsid w:val="00CB2F4B"/>
    <w:rPr>
      <w:rFonts w:ascii="David" w:eastAsia="David" w:hAnsi="David" w:cs="Dav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5436571">
      <w:bodyDiv w:val="1"/>
      <w:marLeft w:val="0"/>
      <w:marRight w:val="0"/>
      <w:marTop w:val="0"/>
      <w:marBottom w:val="0"/>
      <w:divBdr>
        <w:top w:val="none" w:sz="0" w:space="0" w:color="auto"/>
        <w:left w:val="none" w:sz="0" w:space="0" w:color="auto"/>
        <w:bottom w:val="none" w:sz="0" w:space="0" w:color="auto"/>
        <w:right w:val="none" w:sz="0" w:space="0" w:color="auto"/>
      </w:divBdr>
    </w:div>
    <w:div w:id="543752708">
      <w:bodyDiv w:val="1"/>
      <w:marLeft w:val="0"/>
      <w:marRight w:val="0"/>
      <w:marTop w:val="0"/>
      <w:marBottom w:val="0"/>
      <w:divBdr>
        <w:top w:val="none" w:sz="0" w:space="0" w:color="auto"/>
        <w:left w:val="none" w:sz="0" w:space="0" w:color="auto"/>
        <w:bottom w:val="none" w:sz="0" w:space="0" w:color="auto"/>
        <w:right w:val="none" w:sz="0" w:space="0" w:color="auto"/>
      </w:divBdr>
    </w:div>
    <w:div w:id="1915817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5F2EE7F7D8B462F89DD02807B560EAE"/>
        <w:category>
          <w:name w:val="כללי"/>
          <w:gallery w:val="placeholder"/>
        </w:category>
        <w:types>
          <w:type w:val="bbPlcHdr"/>
        </w:types>
        <w:behaviors>
          <w:behavior w:val="content"/>
        </w:behaviors>
        <w:guid w:val="{92927033-1F0C-4610-8C58-DADFC822E384}"/>
      </w:docPartPr>
      <w:docPartBody>
        <w:p w:rsidR="00B61795" w:rsidRDefault="0022357A" w:rsidP="0022357A">
          <w:pPr>
            <w:pStyle w:val="85F2EE7F7D8B462F89DD02807B560EAE"/>
          </w:pPr>
          <w:r>
            <w:rPr>
              <w:b/>
              <w:bCs/>
              <w:rtl/>
            </w:rPr>
            <w:t>תאור קבוצת שיכות צד א'</w:t>
          </w:r>
        </w:p>
      </w:docPartBody>
    </w:docPart>
    <w:docPart>
      <w:docPartPr>
        <w:name w:val="DAB78DFA0E8C4C699DA2D90AA0EDDC40"/>
        <w:category>
          <w:name w:val="כללי"/>
          <w:gallery w:val="placeholder"/>
        </w:category>
        <w:types>
          <w:type w:val="bbPlcHdr"/>
        </w:types>
        <w:behaviors>
          <w:behavior w:val="content"/>
        </w:behaviors>
        <w:guid w:val="{0FDF8F7C-9BED-4FF5-B7CA-8FA4E587E470}"/>
      </w:docPartPr>
      <w:docPartBody>
        <w:p w:rsidR="00B61795" w:rsidRDefault="0022357A" w:rsidP="0022357A">
          <w:pPr>
            <w:pStyle w:val="DAB78DFA0E8C4C699DA2D90AA0EDDC40"/>
          </w:pPr>
          <w:r>
            <w:rPr>
              <w:b/>
              <w:bCs/>
              <w:rtl/>
            </w:rPr>
            <w:t>שם צד א'</w:t>
          </w:r>
        </w:p>
      </w:docPartBody>
    </w:docPart>
    <w:docPart>
      <w:docPartPr>
        <w:name w:val="C50572A735F54D44A6CEDE57BBC08808"/>
        <w:category>
          <w:name w:val="כללי"/>
          <w:gallery w:val="placeholder"/>
        </w:category>
        <w:types>
          <w:type w:val="bbPlcHdr"/>
        </w:types>
        <w:behaviors>
          <w:behavior w:val="content"/>
        </w:behaviors>
        <w:guid w:val="{9B9E2CC8-140C-46B4-B52A-F1794DC9505C}"/>
      </w:docPartPr>
      <w:docPartBody>
        <w:p w:rsidR="00B61795" w:rsidRDefault="0022357A" w:rsidP="0022357A">
          <w:pPr>
            <w:pStyle w:val="C50572A735F54D44A6CEDE57BBC08808"/>
          </w:pPr>
          <w:r>
            <w:rPr>
              <w:b/>
              <w:bCs/>
              <w:rtl/>
            </w:rPr>
            <w:t>שם צד ב'</w:t>
          </w:r>
        </w:p>
      </w:docPartBody>
    </w:docPart>
    <w:docPart>
      <w:docPartPr>
        <w:name w:val="D950A5D5A70B4D37B051CF0EE476A1B6"/>
        <w:category>
          <w:name w:val="כללי"/>
          <w:gallery w:val="placeholder"/>
        </w:category>
        <w:types>
          <w:type w:val="bbPlcHdr"/>
        </w:types>
        <w:behaviors>
          <w:behavior w:val="content"/>
        </w:behaviors>
        <w:guid w:val="{1EA45E7E-FE8D-489B-BCB0-467E3A10E7C9}"/>
      </w:docPartPr>
      <w:docPartBody>
        <w:p w:rsidR="00B61795" w:rsidRDefault="0022357A" w:rsidP="0022357A">
          <w:pPr>
            <w:pStyle w:val="D950A5D5A70B4D37B051CF0EE476A1B6"/>
          </w:pPr>
          <w:r>
            <w:rPr>
              <w:rFonts w:cs="David"/>
              <w:b/>
              <w:bCs/>
              <w:rtl/>
            </w:rPr>
            <w:t>שם פרטי חותם</w:t>
          </w:r>
        </w:p>
      </w:docPartBody>
    </w:docPart>
    <w:docPart>
      <w:docPartPr>
        <w:name w:val="E8BA64409C06412E97AE42AB7D5E4595"/>
        <w:category>
          <w:name w:val="כללי"/>
          <w:gallery w:val="placeholder"/>
        </w:category>
        <w:types>
          <w:type w:val="bbPlcHdr"/>
        </w:types>
        <w:behaviors>
          <w:behavior w:val="content"/>
        </w:behaviors>
        <w:guid w:val="{8819741E-EB9F-44D5-A918-C6B474B9E412}"/>
      </w:docPartPr>
      <w:docPartBody>
        <w:p w:rsidR="00B61795" w:rsidRDefault="0022357A" w:rsidP="0022357A">
          <w:pPr>
            <w:pStyle w:val="E8BA64409C06412E97AE42AB7D5E4595"/>
          </w:pPr>
          <w:r>
            <w:rPr>
              <w:rFonts w:cs="David"/>
              <w:b/>
              <w:bCs/>
              <w:rtl/>
            </w:rPr>
            <w:t>שם משפחה חותם</w:t>
          </w:r>
        </w:p>
      </w:docPartBody>
    </w:docPart>
    <w:docPart>
      <w:docPartPr>
        <w:name w:val="93F11C22B1AC4C42BA97D7C2431CBD07"/>
        <w:category>
          <w:name w:val="כללי"/>
          <w:gallery w:val="placeholder"/>
        </w:category>
        <w:types>
          <w:type w:val="bbPlcHdr"/>
        </w:types>
        <w:behaviors>
          <w:behavior w:val="content"/>
        </w:behaviors>
        <w:guid w:val="{6A171A03-AF65-4002-99A6-028CE34DAD1B}"/>
      </w:docPartPr>
      <w:docPartBody>
        <w:p w:rsidR="00B61795" w:rsidRDefault="0022357A" w:rsidP="0022357A">
          <w:pPr>
            <w:pStyle w:val="93F11C22B1AC4C42BA97D7C2431CBD07"/>
          </w:pPr>
          <w:r>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57A"/>
    <w:rsid w:val="001E1695"/>
    <w:rsid w:val="0022357A"/>
    <w:rsid w:val="003B6BC9"/>
    <w:rsid w:val="00B61795"/>
    <w:rsid w:val="00B7245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BAABA08FDA64A50A1A535258828FA2E">
    <w:name w:val="DBAABA08FDA64A50A1A535258828FA2E"/>
    <w:rsid w:val="0022357A"/>
    <w:pPr>
      <w:bidi/>
    </w:pPr>
  </w:style>
  <w:style w:type="paragraph" w:customStyle="1" w:styleId="85F2EE7F7D8B462F89DD02807B560EAE">
    <w:name w:val="85F2EE7F7D8B462F89DD02807B560EAE"/>
    <w:rsid w:val="0022357A"/>
    <w:pPr>
      <w:bidi/>
    </w:pPr>
  </w:style>
  <w:style w:type="paragraph" w:customStyle="1" w:styleId="DAB78DFA0E8C4C699DA2D90AA0EDDC40">
    <w:name w:val="DAB78DFA0E8C4C699DA2D90AA0EDDC40"/>
    <w:rsid w:val="0022357A"/>
    <w:pPr>
      <w:bidi/>
    </w:pPr>
  </w:style>
  <w:style w:type="paragraph" w:customStyle="1" w:styleId="9206749B7C2E4CEF96009122A7BF93B7">
    <w:name w:val="9206749B7C2E4CEF96009122A7BF93B7"/>
    <w:rsid w:val="0022357A"/>
    <w:pPr>
      <w:bidi/>
    </w:pPr>
  </w:style>
  <w:style w:type="paragraph" w:customStyle="1" w:styleId="1C454D76C07748A2BF83E0CCBB79C7D7">
    <w:name w:val="1C454D76C07748A2BF83E0CCBB79C7D7"/>
    <w:rsid w:val="0022357A"/>
    <w:pPr>
      <w:bidi/>
    </w:pPr>
  </w:style>
  <w:style w:type="paragraph" w:customStyle="1" w:styleId="C50572A735F54D44A6CEDE57BBC08808">
    <w:name w:val="C50572A735F54D44A6CEDE57BBC08808"/>
    <w:rsid w:val="0022357A"/>
    <w:pPr>
      <w:bidi/>
    </w:pPr>
  </w:style>
  <w:style w:type="paragraph" w:customStyle="1" w:styleId="D950A5D5A70B4D37B051CF0EE476A1B6">
    <w:name w:val="D950A5D5A70B4D37B051CF0EE476A1B6"/>
    <w:rsid w:val="0022357A"/>
    <w:pPr>
      <w:bidi/>
    </w:pPr>
  </w:style>
  <w:style w:type="paragraph" w:customStyle="1" w:styleId="E8BA64409C06412E97AE42AB7D5E4595">
    <w:name w:val="E8BA64409C06412E97AE42AB7D5E4595"/>
    <w:rsid w:val="0022357A"/>
    <w:pPr>
      <w:bidi/>
    </w:pPr>
  </w:style>
  <w:style w:type="paragraph" w:customStyle="1" w:styleId="93F11C22B1AC4C42BA97D7C2431CBD07">
    <w:name w:val="93F11C22B1AC4C42BA97D7C2431CBD07"/>
    <w:rsid w:val="0022357A"/>
    <w:pPr>
      <w:bidi/>
    </w:pPr>
  </w:style>
  <w:style w:type="paragraph" w:customStyle="1" w:styleId="EF24145E30AB498B8A1E4DBF08EAE065">
    <w:name w:val="EF24145E30AB498B8A1E4DBF08EAE065"/>
    <w:rsid w:val="0022357A"/>
    <w:pPr>
      <w:bidi/>
    </w:pPr>
  </w:style>
  <w:style w:type="paragraph" w:customStyle="1" w:styleId="9BA7EB859E05432BB82D201D52ACDCA2">
    <w:name w:val="9BA7EB859E05432BB82D201D52ACDCA2"/>
    <w:rsid w:val="0022357A"/>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977</Words>
  <Characters>4885</Characters>
  <Application>Microsoft Office Word</Application>
  <DocSecurity>0</DocSecurity>
  <Lines>40</Lines>
  <Paragraphs>11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אספרנצה אלון</dc:creator>
  <cp:keywords/>
  <dc:description/>
  <cp:lastModifiedBy>אסתר טטרואשילי</cp:lastModifiedBy>
  <cp:revision>2</cp:revision>
  <dcterms:created xsi:type="dcterms:W3CDTF">2023-08-03T12:14:00Z</dcterms:created>
  <dcterms:modified xsi:type="dcterms:W3CDTF">2023-08-03T12:14:00Z</dcterms:modified>
</cp:coreProperties>
</file>